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tbl>
      <w:tblPr>
        <w:tblW w:w="1016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142"/>
        <w:gridCol w:w="8025"/>
      </w:tblGrid>
      <w:tr w:rsidTr="00692DF9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EBD" w:rsidRPr="00B00EBD" w:rsidP="00B00EBD">
            <w:pPr>
              <w:pStyle w:val="Text"/>
            </w:pPr>
            <w:bookmarkStart w:id="0" w:name="_Toc47936102"/>
            <w:bookmarkStart w:id="1" w:name="_Toc47938528"/>
            <w:bookmarkStart w:id="2" w:name="_Toc47948790"/>
            <w:r w:rsidRPr="00B00EBD">
              <w:t>ET-EQ 001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EBD" w:rsidRPr="00B00EBD" w:rsidP="00B00EBD">
            <w:pPr>
              <w:pStyle w:val="Text"/>
            </w:pPr>
            <w:r w:rsidRPr="00B00EBD">
              <w:t>Disposições gerais</w:t>
            </w:r>
          </w:p>
        </w:tc>
      </w:tr>
      <w:tr w:rsidTr="00692DF9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EBD" w:rsidRPr="00B00EBD" w:rsidP="00B00EBD">
            <w:pPr>
              <w:pStyle w:val="Text"/>
            </w:pPr>
            <w:r w:rsidRPr="00B00EBD">
              <w:t>ET-EQ 005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EBD" w:rsidRPr="00B00EBD" w:rsidP="00B00EBD">
            <w:pPr>
              <w:pStyle w:val="Text"/>
            </w:pPr>
            <w:r w:rsidRPr="00B00EBD">
              <w:t>Ensaios equipamento</w:t>
            </w:r>
          </w:p>
        </w:tc>
      </w:tr>
      <w:tr w:rsidTr="00692DF9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EBD" w:rsidRPr="00B00EBD" w:rsidP="00B00EBD">
            <w:pPr>
              <w:pStyle w:val="Text"/>
            </w:pPr>
            <w:r w:rsidRPr="00B00EBD">
              <w:t>ET-EQ 006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EBD" w:rsidRPr="00B00EBD" w:rsidP="00946EE1">
            <w:pPr>
              <w:pStyle w:val="Text"/>
            </w:pPr>
            <w:r w:rsidRPr="00B00EBD">
              <w:t>Receção de equipamento</w:t>
            </w:r>
          </w:p>
        </w:tc>
      </w:tr>
      <w:tr w:rsidTr="00692DF9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EBD" w:rsidRPr="00B00EBD" w:rsidP="00B00EBD">
            <w:pPr>
              <w:pStyle w:val="Text"/>
            </w:pPr>
            <w:r w:rsidRPr="00B00EBD">
              <w:t>ET-EQ 010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EBD" w:rsidRPr="00B00EBD" w:rsidP="00B00EBD">
            <w:pPr>
              <w:pStyle w:val="Text"/>
            </w:pPr>
            <w:r w:rsidRPr="00B00EBD">
              <w:t>Materiais não especificados</w:t>
            </w:r>
          </w:p>
        </w:tc>
      </w:tr>
      <w:tr w:rsidTr="007F0A5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100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Tubagens de ar comprimido</w:t>
            </w:r>
          </w:p>
        </w:tc>
      </w:tr>
      <w:tr w:rsidTr="007F0A5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101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8A27FE">
            <w:pPr>
              <w:pStyle w:val="Text"/>
            </w:pPr>
            <w:r w:rsidRPr="007B425E">
              <w:t>Canalizações em PRFV</w:t>
            </w:r>
          </w:p>
        </w:tc>
      </w:tr>
      <w:tr w:rsidTr="007F0A5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105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946EE1">
            <w:pPr>
              <w:pStyle w:val="Text"/>
            </w:pPr>
            <w:r w:rsidRPr="007B425E">
              <w:t>Proteção anticorrosiva para tubagem em aço</w:t>
            </w:r>
          </w:p>
        </w:tc>
      </w:tr>
      <w:tr w:rsidTr="007F0A5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107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Pinturas das tubagens e acessórios</w:t>
            </w:r>
          </w:p>
        </w:tc>
      </w:tr>
      <w:tr w:rsidTr="007F0A5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115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8A27FE">
            <w:pPr>
              <w:pStyle w:val="Text"/>
            </w:pPr>
            <w:r w:rsidRPr="007B425E">
              <w:t>Ligadores para PVC</w:t>
            </w:r>
          </w:p>
        </w:tc>
      </w:tr>
      <w:tr w:rsidTr="007F0A5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116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8A27FE">
            <w:pPr>
              <w:pStyle w:val="Text"/>
            </w:pPr>
            <w:r w:rsidRPr="007B425E">
              <w:t>Ligadores para PEAD</w:t>
            </w:r>
          </w:p>
        </w:tc>
      </w:tr>
      <w:tr w:rsidTr="007F0A5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117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Ligadores universais</w:t>
            </w:r>
          </w:p>
        </w:tc>
      </w:tr>
      <w:tr w:rsidTr="007F0A5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125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Juntas autotravadas</w:t>
            </w:r>
          </w:p>
        </w:tc>
      </w:tr>
      <w:tr w:rsidTr="007F0A5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126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Juntas de transição</w:t>
            </w:r>
          </w:p>
        </w:tc>
      </w:tr>
      <w:tr w:rsidTr="007F0A5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127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Juntas mecânicas com flange de ligação</w:t>
            </w:r>
          </w:p>
        </w:tc>
      </w:tr>
      <w:tr w:rsidTr="007F0A5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128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>
              <w:t>Juntas mecânicas flexíveis</w:t>
            </w:r>
          </w:p>
        </w:tc>
      </w:tr>
      <w:tr w:rsidTr="007F0A5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129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>
              <w:t>Juntas mecânicas flexíveis atirantadas</w:t>
            </w:r>
          </w:p>
        </w:tc>
      </w:tr>
      <w:tr w:rsidTr="009323E6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200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Válvulas de borboleta - sistemas abastecimento (dupla excentricidade)</w:t>
            </w:r>
          </w:p>
        </w:tc>
      </w:tr>
      <w:tr w:rsidTr="009323E6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201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946EE1">
            <w:pPr>
              <w:pStyle w:val="Text"/>
            </w:pPr>
            <w:r w:rsidRPr="007B425E">
              <w:t>Válvulas de cunha água potável</w:t>
            </w:r>
          </w:p>
        </w:tc>
      </w:tr>
      <w:tr w:rsidTr="009323E6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210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946EE1">
            <w:pPr>
              <w:pStyle w:val="Text"/>
            </w:pPr>
            <w:r w:rsidRPr="007B425E">
              <w:t>Válvulas de cunha água residual</w:t>
            </w:r>
          </w:p>
        </w:tc>
      </w:tr>
      <w:tr w:rsidTr="009323E6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211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Válvulas de guilhotina água residual</w:t>
            </w:r>
          </w:p>
        </w:tc>
      </w:tr>
      <w:tr w:rsidTr="009323E6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215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Válvulas de borboleta</w:t>
            </w:r>
          </w:p>
        </w:tc>
      </w:tr>
      <w:tr w:rsidTr="009323E6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216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Válvulas de comporta mural</w:t>
            </w:r>
          </w:p>
        </w:tc>
      </w:tr>
      <w:tr w:rsidTr="009323E6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217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8A27FE">
            <w:pPr>
              <w:pStyle w:val="Text"/>
            </w:pPr>
            <w:r w:rsidRPr="007B425E">
              <w:t>Válvulas de comporta PEAD</w:t>
            </w:r>
          </w:p>
        </w:tc>
      </w:tr>
      <w:tr w:rsidTr="009323E6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218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Válvulas de globo</w:t>
            </w:r>
          </w:p>
        </w:tc>
      </w:tr>
      <w:tr w:rsidTr="009323E6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219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Válvulas de macho esférico</w:t>
            </w:r>
          </w:p>
        </w:tc>
      </w:tr>
      <w:tr w:rsidTr="009323E6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220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Válvulas de membrana</w:t>
            </w:r>
          </w:p>
        </w:tc>
      </w:tr>
      <w:tr w:rsidTr="009323E6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221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8A27FE">
            <w:pPr>
              <w:pStyle w:val="Text"/>
            </w:pPr>
            <w:r w:rsidRPr="007B425E">
              <w:t>Válvulas de manga elástica (tipo PIC)</w:t>
            </w:r>
          </w:p>
        </w:tc>
      </w:tr>
      <w:tr w:rsidTr="009323E6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225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Válvulas de retenção de anéis concêntricos</w:t>
            </w:r>
          </w:p>
        </w:tc>
      </w:tr>
      <w:tr w:rsidTr="009323E6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226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Válvulas de retenção de bola</w:t>
            </w:r>
          </w:p>
        </w:tc>
      </w:tr>
      <w:tr w:rsidTr="009323E6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227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Válvulas de retenção de charneira</w:t>
            </w:r>
          </w:p>
        </w:tc>
      </w:tr>
      <w:tr w:rsidTr="00C307CD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230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Válvulas de maré tipo "clapet"</w:t>
            </w:r>
          </w:p>
        </w:tc>
      </w:tr>
      <w:tr w:rsidTr="00C307CD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235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Válvulas redutoras de pressão</w:t>
            </w:r>
          </w:p>
        </w:tc>
      </w:tr>
      <w:tr w:rsidTr="00C307CD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236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Válvulas reguladoras e limitadoras de caudal</w:t>
            </w:r>
          </w:p>
        </w:tc>
      </w:tr>
      <w:tr w:rsidTr="00C307CD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240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Válvulas dos circuitos de ar comprimido</w:t>
            </w:r>
          </w:p>
        </w:tc>
      </w:tr>
      <w:tr w:rsidTr="00C307CD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250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Ventosas água potável</w:t>
            </w:r>
          </w:p>
        </w:tc>
      </w:tr>
      <w:tr w:rsidTr="00C307CD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251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Ventosas água residual</w:t>
            </w:r>
          </w:p>
        </w:tc>
      </w:tr>
      <w:tr w:rsidTr="00C307CD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260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946EE1">
            <w:pPr>
              <w:pStyle w:val="Text"/>
            </w:pPr>
            <w:r w:rsidRPr="007B425E">
              <w:t>Atuadores pneumáticos de válvulas</w:t>
            </w:r>
          </w:p>
        </w:tc>
      </w:tr>
      <w:tr w:rsidTr="00C307CD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261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946EE1">
            <w:pPr>
              <w:pStyle w:val="Text"/>
            </w:pPr>
            <w:r w:rsidRPr="007B425E">
              <w:t>Atuadores elétricos de válvulas</w:t>
            </w:r>
          </w:p>
        </w:tc>
      </w:tr>
      <w:tr w:rsidTr="00C307CD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7B425E">
            <w:pPr>
              <w:pStyle w:val="Text"/>
            </w:pPr>
            <w:r w:rsidRPr="007B425E">
              <w:t>ET-EQ 262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C5524" w:rsidRPr="007B425E" w:rsidP="00946EE1">
            <w:pPr>
              <w:pStyle w:val="Text"/>
            </w:pPr>
            <w:r w:rsidRPr="007B425E">
              <w:t>Atuadores manuais de válvulas</w:t>
            </w:r>
          </w:p>
        </w:tc>
      </w:tr>
      <w:tr w:rsidTr="00DC31BF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300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Agitador submersível (eixo horizontal)</w:t>
            </w:r>
          </w:p>
        </w:tc>
      </w:tr>
      <w:tr w:rsidTr="00455957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301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F92" w:rsidRPr="007B425E" w:rsidP="007B425E">
            <w:pPr>
              <w:pStyle w:val="Text"/>
            </w:pPr>
            <w:r w:rsidRPr="007B425E">
              <w:t>Agitador (eixo vertical com aplicação em digestão anaeróbia de lamas)</w:t>
            </w:r>
          </w:p>
        </w:tc>
      </w:tr>
      <w:tr w:rsidTr="00DC31BF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302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Agitador submersível (tipo propulsor)</w:t>
            </w:r>
          </w:p>
        </w:tc>
      </w:tr>
      <w:tr w:rsidTr="00DC31BF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303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Agitador (eixo vertical)</w:t>
            </w:r>
          </w:p>
        </w:tc>
      </w:tr>
      <w:tr w:rsidTr="00DC31BF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310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252F66">
            <w:pPr>
              <w:pStyle w:val="Text"/>
            </w:pPr>
            <w:r w:rsidRPr="007B425E">
              <w:t>Arejador composto por grupo eletrobomba e injetor</w:t>
            </w:r>
          </w:p>
        </w:tc>
      </w:tr>
      <w:tr w:rsidTr="00DC31BF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311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>
              <w:t>Arejador submersível de impulsor radial</w:t>
            </w:r>
          </w:p>
        </w:tc>
      </w:tr>
      <w:tr w:rsidTr="00455957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312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F92" w:rsidRPr="007B425E" w:rsidP="007B425E">
            <w:pPr>
              <w:pStyle w:val="Text"/>
            </w:pPr>
            <w:r>
              <w:t>Arejador de superfície de eixo vertical</w:t>
            </w:r>
          </w:p>
        </w:tc>
      </w:tr>
      <w:tr w:rsidTr="00455957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313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F92" w:rsidRPr="007B425E" w:rsidP="007B425E">
            <w:pPr>
              <w:pStyle w:val="Text"/>
            </w:pPr>
            <w:r w:rsidRPr="007B425E">
              <w:t>Arejador submersível (para aplicação em desarenadores)</w:t>
            </w:r>
          </w:p>
        </w:tc>
      </w:tr>
      <w:tr w:rsidTr="00455957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314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F92" w:rsidRPr="007B425E" w:rsidP="00946EE1">
            <w:pPr>
              <w:pStyle w:val="Text"/>
            </w:pPr>
            <w:r w:rsidRPr="007B425E">
              <w:t>Difusores para injeção de ar comprimido (disco e tubulares)</w:t>
            </w:r>
          </w:p>
        </w:tc>
      </w:tr>
      <w:tr w:rsidTr="00DC31BF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320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Central hidropressora</w:t>
            </w:r>
          </w:p>
        </w:tc>
      </w:tr>
      <w:tr w:rsidTr="00DC31BF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321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252F66">
            <w:pPr>
              <w:pStyle w:val="Text"/>
            </w:pPr>
            <w:r w:rsidRPr="007B425E">
              <w:t>Eletrobomba monocelular de eixo horizontal</w:t>
            </w:r>
          </w:p>
        </w:tc>
      </w:tr>
      <w:tr w:rsidTr="00DC31BF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322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252F66">
            <w:pPr>
              <w:pStyle w:val="Text"/>
            </w:pPr>
            <w:r w:rsidRPr="007B425E">
              <w:t>Eletrobombas monocelulares para água potável</w:t>
            </w:r>
          </w:p>
        </w:tc>
      </w:tr>
      <w:tr w:rsidTr="00DC31BF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323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252F66">
            <w:pPr>
              <w:pStyle w:val="Text"/>
            </w:pPr>
            <w:r w:rsidRPr="007B425E">
              <w:t>Eletrobombas multicelulares para água potável</w:t>
            </w:r>
          </w:p>
        </w:tc>
      </w:tr>
      <w:tr w:rsidTr="00DC31BF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324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252F66">
            <w:pPr>
              <w:pStyle w:val="Text"/>
            </w:pPr>
            <w:r w:rsidRPr="007B425E">
              <w:t>Eletrobomba de deslocamento positivo</w:t>
            </w:r>
          </w:p>
        </w:tc>
      </w:tr>
      <w:tr w:rsidTr="00DC31BF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325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252F66">
            <w:pPr>
              <w:pStyle w:val="Text"/>
            </w:pPr>
            <w:r>
              <w:t>Eletrobomba doseadora de membrana</w:t>
            </w:r>
          </w:p>
        </w:tc>
      </w:tr>
      <w:tr w:rsidTr="00DC31BF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326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252F66">
            <w:pPr>
              <w:pStyle w:val="Text"/>
            </w:pPr>
            <w:r w:rsidRPr="007B425E">
              <w:t>Eletrobomba peristáltica</w:t>
            </w:r>
          </w:p>
        </w:tc>
      </w:tr>
      <w:tr w:rsidTr="00DC31BF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327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252F66">
            <w:pPr>
              <w:pStyle w:val="Text"/>
            </w:pPr>
            <w:r>
              <w:t>Eletrobomba submersível</w:t>
            </w:r>
          </w:p>
        </w:tc>
      </w:tr>
      <w:tr w:rsidTr="00DC31BF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328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252F66">
            <w:pPr>
              <w:pStyle w:val="Text"/>
            </w:pPr>
            <w:r w:rsidRPr="007B425E">
              <w:t>Eletrobomba submersível portátil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340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Sobrepressor de deslocamento positivo</w:t>
            </w:r>
          </w:p>
        </w:tc>
      </w:tr>
      <w:tr w:rsidTr="00611AEB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341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F92" w:rsidRPr="007B425E" w:rsidP="00252F66">
            <w:pPr>
              <w:pStyle w:val="Text"/>
            </w:pPr>
            <w:r w:rsidRPr="007B425E">
              <w:t>Eletrocompressor (biogás)</w:t>
            </w:r>
          </w:p>
        </w:tc>
      </w:tr>
      <w:tr w:rsidTr="00611AEB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342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F92" w:rsidRPr="007B425E" w:rsidP="00252F66">
            <w:pPr>
              <w:pStyle w:val="Text"/>
            </w:pPr>
            <w:r w:rsidRPr="007B425E">
              <w:t>Eletrocompressor (produção de ar de serviço)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343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Ventilador</w:t>
            </w:r>
          </w:p>
        </w:tc>
      </w:tr>
      <w:tr w:rsidTr="00611AEB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350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F92" w:rsidRPr="007B425E" w:rsidP="007B425E">
            <w:pPr>
              <w:pStyle w:val="Text"/>
            </w:pPr>
            <w:r w:rsidRPr="007B425E">
              <w:t>Microtamisador</w:t>
            </w:r>
          </w:p>
        </w:tc>
      </w:tr>
      <w:tr w:rsidTr="00611AEB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351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F92" w:rsidRPr="007B425E" w:rsidP="007B425E">
            <w:pPr>
              <w:pStyle w:val="Text"/>
            </w:pPr>
            <w:r w:rsidRPr="007B425E">
              <w:t>Grade mecânica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352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>
              <w:t>Tamisador transportador-compactador de resíduos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353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Classificador de areias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354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Concentradores de gorduras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355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Compactador de gradados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355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946EE1">
            <w:pPr>
              <w:pStyle w:val="Text"/>
            </w:pPr>
            <w:r w:rsidRPr="007B425E">
              <w:t>Equipamento receção fossas sépticas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360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Filtro autolimpante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361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946EE1">
            <w:pPr>
              <w:pStyle w:val="Text"/>
            </w:pPr>
            <w:r w:rsidRPr="007B425E">
              <w:t>Sistema compacto de desinfeção por ultra violetas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362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946EE1">
            <w:pPr>
              <w:pStyle w:val="Text"/>
            </w:pPr>
            <w:r w:rsidRPr="007B425E">
              <w:t>Sistema de desinfeção por ultra violetas em canal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370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>
              <w:t>Centrífuga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371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Mesa de espessamento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372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Tambor de espessamento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373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946EE1">
            <w:pPr>
              <w:pStyle w:val="Text"/>
            </w:pPr>
            <w:r w:rsidRPr="007B425E">
              <w:t>Unidade automática de preparação de eletrólito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380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Caldeira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381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Flare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382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Permutador de calor</w:t>
            </w:r>
          </w:p>
        </w:tc>
      </w:tr>
      <w:tr w:rsidTr="00D32494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383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Triturador</w:t>
            </w:r>
          </w:p>
        </w:tc>
      </w:tr>
      <w:tr w:rsidTr="00866C3D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391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Sistema de cloragem para água potável</w:t>
            </w:r>
          </w:p>
        </w:tc>
      </w:tr>
      <w:tr w:rsidTr="00866C3D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400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Armazenamento de reagentes</w:t>
            </w:r>
          </w:p>
        </w:tc>
      </w:tr>
      <w:tr w:rsidTr="00B2017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401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Contentores de recolha</w:t>
            </w:r>
          </w:p>
        </w:tc>
      </w:tr>
      <w:tr w:rsidTr="00B2017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405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Reservatório de água de serviço</w:t>
            </w:r>
          </w:p>
        </w:tc>
      </w:tr>
      <w:tr w:rsidTr="00B2017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406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Reservatório de ar comprimido</w:t>
            </w:r>
          </w:p>
        </w:tc>
      </w:tr>
      <w:tr w:rsidTr="00B2017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407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Reservatório hidropneumático</w:t>
            </w:r>
          </w:p>
        </w:tc>
      </w:tr>
      <w:tr w:rsidTr="00B2017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408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Silo de armazenamento de lamas desidratadas</w:t>
            </w:r>
          </w:p>
        </w:tc>
      </w:tr>
      <w:tr w:rsidTr="00B2017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409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Silo de armazenamento de cal</w:t>
            </w:r>
          </w:p>
        </w:tc>
      </w:tr>
      <w:tr w:rsidTr="00B2017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415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Desarenadores tipo pista</w:t>
            </w:r>
          </w:p>
        </w:tc>
      </w:tr>
      <w:tr w:rsidTr="00B2017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416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946EE1">
            <w:pPr>
              <w:pStyle w:val="Text"/>
              <w:jc w:val="left"/>
            </w:pPr>
            <w:r w:rsidRPr="007B425E">
              <w:t>Ponte desarenadores/desengorduradores, planta retangular, dois canais</w:t>
            </w:r>
          </w:p>
        </w:tc>
      </w:tr>
      <w:tr w:rsidTr="00B2017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417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Ponte raspadora do espessador</w:t>
            </w:r>
          </w:p>
        </w:tc>
      </w:tr>
      <w:tr w:rsidTr="00B2017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418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946EE1">
            <w:pPr>
              <w:pStyle w:val="Text"/>
            </w:pPr>
            <w:r>
              <w:t>Ponte raspadora (órgãos de planta retangular)</w:t>
            </w:r>
          </w:p>
        </w:tc>
      </w:tr>
      <w:tr w:rsidTr="00B20178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419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Pontes raspadoras para decantadores circulares</w:t>
            </w:r>
          </w:p>
        </w:tc>
      </w:tr>
      <w:tr w:rsidTr="002E0A80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430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Grade de retenção de detritos de limpeza manual</w:t>
            </w:r>
          </w:p>
        </w:tc>
      </w:tr>
      <w:tr w:rsidTr="002E0A80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435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Desodoriza</w:t>
            </w:r>
            <w:bookmarkStart w:id="3" w:name="_GoBack"/>
            <w:bookmarkEnd w:id="3"/>
            <w:r w:rsidRPr="007B425E">
              <w:t>ção por biofltro</w:t>
            </w:r>
          </w:p>
        </w:tc>
      </w:tr>
      <w:tr w:rsidTr="002E0A80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436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946EE1">
            <w:pPr>
              <w:pStyle w:val="Text"/>
            </w:pPr>
            <w:r w:rsidRPr="007B425E">
              <w:t>Desodorização por carvão ativado</w:t>
            </w:r>
          </w:p>
        </w:tc>
      </w:tr>
      <w:tr w:rsidTr="002E0A80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437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Desodorização por lavagem química</w:t>
            </w:r>
          </w:p>
        </w:tc>
      </w:tr>
      <w:tr w:rsidTr="002E0A80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440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Aparelhos de elevação e tripé amovível</w:t>
            </w:r>
          </w:p>
        </w:tc>
      </w:tr>
      <w:tr w:rsidTr="002E0A80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445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Filtro em pressão</w:t>
            </w:r>
          </w:p>
        </w:tc>
      </w:tr>
      <w:tr w:rsidTr="002E0A80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455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Construções metálicas e serralharias</w:t>
            </w:r>
          </w:p>
        </w:tc>
      </w:tr>
      <w:tr w:rsidTr="002E0A80">
        <w:tblPrEx>
          <w:tblW w:w="10167" w:type="dxa"/>
          <w:tblInd w:w="5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ET-EQ 456</w:t>
            </w:r>
          </w:p>
        </w:tc>
        <w:tc>
          <w:tcPr>
            <w:tcW w:w="8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4F92" w:rsidRPr="007B425E" w:rsidP="007B425E">
            <w:pPr>
              <w:pStyle w:val="Text"/>
            </w:pPr>
            <w:r w:rsidRPr="007B425E">
              <w:t>Parafusos e porcas</w:t>
            </w:r>
          </w:p>
        </w:tc>
      </w:tr>
    </w:tbl>
    <w:p w:rsidR="004D48E4" w:rsidRPr="00331B8E" w:rsidP="00EE52F6">
      <w:pPr>
        <w:pStyle w:val="Heading1"/>
        <w:numPr>
          <w:ilvl w:val="0"/>
          <w:numId w:val="0"/>
        </w:numPr>
        <w:rPr>
          <w:lang w:val="pt-PT"/>
        </w:rPr>
      </w:pPr>
      <w:bookmarkEnd w:id="0"/>
      <w:bookmarkEnd w:id="1"/>
      <w:bookmarkEnd w:id="2"/>
    </w:p>
    <w:sectPr w:rsidSect="00086E23">
      <w:headerReference w:type="even" r:id="rId4"/>
      <w:headerReference w:type="default" r:id="rId5"/>
      <w:footerReference w:type="default" r:id="rId6"/>
      <w:pgSz w:w="11913" w:h="16834" w:code="9"/>
      <w:pgMar w:top="1701" w:right="1134" w:bottom="1701" w:left="1134" w:header="992" w:footer="794" w:gutter="0"/>
      <w:paperSrc w:first="15" w:other="15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5FE" w:rsidRPr="00086E23" w:rsidP="00086E23">
    <w:pPr>
      <w:pBdr>
        <w:top w:val="single" w:sz="4" w:space="1" w:color="C0C0C0"/>
      </w:pBdr>
      <w:tabs>
        <w:tab w:val="right" w:pos="9639"/>
      </w:tabs>
      <w:jc w:val="both"/>
      <w:rPr>
        <w:rFonts w:eastAsia="Arial Unicode MS"/>
        <w:color w:val="111111"/>
        <w:sz w:val="14"/>
      </w:rPr>
    </w:pPr>
    <w:r w:rsidRPr="00FD05BA">
      <w:rPr>
        <w:color w:val="292929"/>
        <w:sz w:val="16"/>
        <w:szCs w:val="16"/>
      </w:rPr>
      <w:fldChar w:fldCharType="begin"/>
    </w:r>
    <w:r w:rsidRPr="00FD05BA">
      <w:rPr>
        <w:color w:val="292929"/>
        <w:sz w:val="16"/>
        <w:szCs w:val="16"/>
      </w:rPr>
      <w:instrText xml:space="preserve"> FILENAME </w:instrText>
    </w:r>
    <w:r w:rsidRPr="00FD05BA">
      <w:rPr>
        <w:color w:val="292929"/>
        <w:sz w:val="16"/>
        <w:szCs w:val="16"/>
      </w:rPr>
      <w:fldChar w:fldCharType="separate"/>
    </w:r>
    <w:r w:rsidR="00266A10">
      <w:rPr>
        <w:noProof/>
        <w:color w:val="292929"/>
        <w:sz w:val="16"/>
        <w:szCs w:val="16"/>
      </w:rPr>
      <w:t>ET-EQ 000 Indice</w:t>
    </w:r>
    <w:r w:rsidRPr="00FD05BA">
      <w:rPr>
        <w:color w:val="292929"/>
        <w:sz w:val="16"/>
        <w:szCs w:val="16"/>
      </w:rPr>
      <w:fldChar w:fldCharType="end"/>
    </w:r>
    <w:r w:rsidRPr="00086E23">
      <w:rPr>
        <w:color w:val="292929"/>
        <w:sz w:val="16"/>
        <w:szCs w:val="16"/>
      </w:rPr>
      <w:tab/>
    </w:r>
    <w:r w:rsidRPr="00086E23">
      <w:rPr>
        <w:rFonts w:eastAsia="Arial Unicode MS"/>
        <w:color w:val="111111"/>
        <w:sz w:val="14"/>
      </w:rPr>
      <w:fldChar w:fldCharType="begin"/>
    </w:r>
    <w:r w:rsidRPr="00086E23">
      <w:rPr>
        <w:rFonts w:eastAsia="Arial Unicode MS"/>
        <w:color w:val="111111"/>
        <w:sz w:val="14"/>
      </w:rPr>
      <w:instrText xml:space="preserve"> PAGE </w:instrText>
    </w:r>
    <w:r w:rsidRPr="00086E23">
      <w:rPr>
        <w:rFonts w:eastAsia="Arial Unicode MS"/>
        <w:color w:val="111111"/>
        <w:sz w:val="14"/>
      </w:rPr>
      <w:fldChar w:fldCharType="separate"/>
    </w:r>
    <w:r w:rsidR="00252F66">
      <w:rPr>
        <w:rFonts w:eastAsia="Arial Unicode MS"/>
        <w:noProof/>
        <w:color w:val="111111"/>
        <w:sz w:val="14"/>
      </w:rPr>
      <w:t>1</w:t>
    </w:r>
    <w:r w:rsidRPr="00086E23">
      <w:rPr>
        <w:rFonts w:eastAsia="Arial Unicode MS"/>
        <w:color w:val="111111"/>
        <w:sz w:val="14"/>
      </w:rPr>
      <w:fldChar w:fldCharType="end"/>
    </w:r>
    <w:r w:rsidRPr="00086E23">
      <w:rPr>
        <w:rFonts w:eastAsia="Arial Unicode MS"/>
        <w:color w:val="111111"/>
        <w:sz w:val="14"/>
      </w:rPr>
      <w:t>/</w:t>
    </w:r>
    <w:r w:rsidRPr="00086E23">
      <w:rPr>
        <w:rFonts w:eastAsia="Arial Unicode MS"/>
        <w:color w:val="111111"/>
        <w:sz w:val="14"/>
      </w:rPr>
      <w:fldChar w:fldCharType="begin"/>
    </w:r>
    <w:r w:rsidRPr="00086E23">
      <w:rPr>
        <w:rFonts w:eastAsia="Arial Unicode MS"/>
        <w:color w:val="111111"/>
        <w:sz w:val="14"/>
      </w:rPr>
      <w:instrText xml:space="preserve"> NUMPAGES </w:instrText>
    </w:r>
    <w:r w:rsidRPr="00086E23">
      <w:rPr>
        <w:rFonts w:eastAsia="Arial Unicode MS"/>
        <w:color w:val="111111"/>
        <w:sz w:val="14"/>
      </w:rPr>
      <w:fldChar w:fldCharType="separate"/>
    </w:r>
    <w:r w:rsidR="00252F66">
      <w:rPr>
        <w:rFonts w:eastAsia="Arial Unicode MS"/>
        <w:noProof/>
        <w:color w:val="111111"/>
        <w:sz w:val="14"/>
      </w:rPr>
      <w:t>4</w:t>
    </w:r>
    <w:r w:rsidRPr="00086E23">
      <w:rPr>
        <w:rFonts w:eastAsia="Arial Unicode MS"/>
        <w:color w:val="111111"/>
        <w:sz w:val="14"/>
      </w:rPr>
      <w:fldChar w:fldCharType="end"/>
    </w:r>
  </w:p>
  <w:p w:rsidR="00FC25FE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5FE" w:rsidP="00187908"/>
  <w:p w:rsidR="00FC25FE" w:rsidP="00187908"/>
  <w:p w:rsidR="00FC25FE" w:rsidP="00187908"/>
  <w:p w:rsidR="00FC25FE" w:rsidP="00187908"/>
  <w:p w:rsidR="00FC25FE" w:rsidP="000062C0"/>
  <w:p w:rsidR="00FC25FE" w:rsidP="00C85FE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108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Layout w:type="fixed"/>
      <w:tblLook w:val="01E0"/>
    </w:tblPr>
    <w:tblGrid>
      <w:gridCol w:w="3074"/>
      <w:gridCol w:w="4014"/>
      <w:gridCol w:w="2551"/>
    </w:tblGrid>
    <w:tr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493"/>
      </w:trPr>
      <w:tc>
        <w:tcPr>
          <w:tcW w:w="7088" w:type="dxa"/>
          <w:gridSpan w:val="2"/>
          <w:vAlign w:val="center"/>
        </w:tcPr>
        <w:p w:rsidR="00FC25FE" w:rsidRPr="00175358" w:rsidP="00175358">
          <w:pPr>
            <w:spacing w:before="60" w:after="60"/>
            <w:jc w:val="both"/>
            <w:rPr>
              <w:rFonts w:eastAsia="Arial Unicode MS"/>
              <w:b/>
              <w:caps/>
              <w:color w:val="292929"/>
              <w:sz w:val="28"/>
              <w:szCs w:val="28"/>
            </w:rPr>
          </w:pPr>
          <w:r w:rsidRPr="00175358">
            <w:rPr>
              <w:rFonts w:eastAsia="Arial Unicode MS"/>
              <w:b/>
              <w:color w:val="292929"/>
              <w:sz w:val="28"/>
              <w:szCs w:val="28"/>
            </w:rPr>
            <w:t>AdP - ÁGUAS DE PORTUGAL</w:t>
          </w:r>
        </w:p>
      </w:tc>
      <w:tc>
        <w:tcPr>
          <w:tcW w:w="2551" w:type="dxa"/>
        </w:tcPr>
        <w:p w:rsidR="00FC25FE" w:rsidRPr="00175358" w:rsidP="00754D60">
          <w:pPr>
            <w:spacing w:before="60" w:after="60"/>
            <w:jc w:val="center"/>
            <w:rPr>
              <w:rFonts w:ascii="GillSans" w:eastAsia="Arial Unicode MS" w:hAnsi="GillSans"/>
              <w:b/>
              <w:color w:val="292929"/>
            </w:rPr>
          </w:pP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10225405</wp:posOffset>
                </wp:positionV>
                <wp:extent cx="7560310" cy="492760"/>
                <wp:effectExtent l="19050" t="0" r="2540" b="0"/>
                <wp:wrapNone/>
                <wp:docPr id="2049" name="Picture 32" descr="balkonderA4st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alkonderA4stn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310" cy="492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10225405</wp:posOffset>
                </wp:positionV>
                <wp:extent cx="7560310" cy="492760"/>
                <wp:effectExtent l="19050" t="0" r="2540" b="0"/>
                <wp:wrapNone/>
                <wp:docPr id="2050" name="Picture 33" descr="balkonderA4st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 descr="balkonderA4stn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310" cy="492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GillSans" w:eastAsia="Arial Unicode MS" w:hAnsi="GillSans"/>
              <w:b/>
              <w:noProof/>
              <w:color w:val="292929"/>
              <w:lang w:eastAsia="pt-PT"/>
            </w:rPr>
            <w:drawing>
              <wp:inline distT="0" distB="0" distL="0" distR="0">
                <wp:extent cx="1288415" cy="487045"/>
                <wp:effectExtent l="19050" t="0" r="6985" b="0"/>
                <wp:docPr id="2051" name="Picture 1" descr="Novo Águas de Portugal pequen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ovo Águas de Portugal pequen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8415" cy="487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191"/>
      </w:trPr>
      <w:tc>
        <w:tcPr>
          <w:tcW w:w="7088" w:type="dxa"/>
          <w:gridSpan w:val="2"/>
          <w:vAlign w:val="center"/>
        </w:tcPr>
        <w:p w:rsidR="00FC25FE" w:rsidRPr="00175358" w:rsidP="00175358">
          <w:pPr>
            <w:spacing w:before="60" w:after="60"/>
            <w:jc w:val="both"/>
            <w:rPr>
              <w:rFonts w:eastAsia="Arial Unicode MS"/>
              <w:b/>
              <w:smallCaps/>
              <w:color w:val="292929"/>
              <w:sz w:val="20"/>
              <w:szCs w:val="20"/>
            </w:rPr>
          </w:pPr>
          <w:r w:rsidRPr="00175358">
            <w:rPr>
              <w:rFonts w:eastAsia="Arial Unicode MS"/>
              <w:b/>
              <w:smallCaps/>
              <w:color w:val="292929"/>
              <w:sz w:val="20"/>
              <w:szCs w:val="20"/>
            </w:rPr>
            <w:t>Designação</w:t>
          </w:r>
        </w:p>
        <w:p w:rsidR="00FC25FE" w:rsidRPr="00175358" w:rsidP="00175358">
          <w:pPr>
            <w:spacing w:before="120" w:after="120" w:line="280" w:lineRule="atLeast"/>
            <w:ind w:left="34"/>
            <w:rPr>
              <w:smallCaps/>
              <w:color w:val="111111"/>
              <w:sz w:val="24"/>
              <w:szCs w:val="24"/>
            </w:rPr>
          </w:pPr>
          <w:r>
            <w:rPr>
              <w:rFonts w:eastAsia="Arial Unicode MS"/>
              <w:b/>
              <w:caps/>
              <w:color w:val="292929"/>
              <w:sz w:val="24"/>
              <w:szCs w:val="24"/>
            </w:rPr>
            <w:t>índice</w:t>
          </w:r>
        </w:p>
      </w:tc>
      <w:tc>
        <w:tcPr>
          <w:tcW w:w="2551" w:type="dxa"/>
          <w:vMerge w:val="restart"/>
          <w:shd w:val="clear" w:color="auto" w:fill="C0C0C0"/>
        </w:tcPr>
        <w:p w:rsidR="00FC25FE" w:rsidRPr="00175358" w:rsidP="00175358">
          <w:pPr>
            <w:spacing w:before="120" w:after="120"/>
            <w:jc w:val="right"/>
            <w:rPr>
              <w:b/>
              <w:smallCaps/>
              <w:color w:val="111111"/>
              <w:sz w:val="24"/>
              <w:szCs w:val="24"/>
            </w:rPr>
          </w:pPr>
          <w:r w:rsidRPr="00175358">
            <w:rPr>
              <w:b/>
              <w:smallCaps/>
              <w:color w:val="111111"/>
              <w:sz w:val="24"/>
              <w:szCs w:val="24"/>
            </w:rPr>
            <w:t>Especificação Técnica</w:t>
          </w:r>
        </w:p>
        <w:p w:rsidR="00FC25FE" w:rsidRPr="00175358" w:rsidP="00175358">
          <w:pPr>
            <w:spacing w:before="120" w:after="120"/>
            <w:jc w:val="right"/>
            <w:rPr>
              <w:color w:val="111111"/>
            </w:rPr>
          </w:pPr>
          <w:r>
            <w:rPr>
              <w:b/>
              <w:smallCaps/>
              <w:color w:val="111111"/>
              <w:sz w:val="24"/>
              <w:szCs w:val="24"/>
            </w:rPr>
            <w:t>ET-EQ 000</w:t>
          </w:r>
        </w:p>
      </w:tc>
    </w:tr>
    <w:tr>
      <w:tblPrEx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Ex>
      <w:trPr>
        <w:trHeight w:val="283"/>
      </w:trPr>
      <w:tc>
        <w:tcPr>
          <w:tcW w:w="3074" w:type="dxa"/>
          <w:vAlign w:val="center"/>
        </w:tcPr>
        <w:p w:rsidR="00FC25FE" w:rsidRPr="00175358" w:rsidP="00175358">
          <w:pPr>
            <w:spacing w:before="60" w:after="60"/>
            <w:jc w:val="both"/>
            <w:rPr>
              <w:rFonts w:eastAsia="Arial Unicode MS"/>
              <w:b/>
              <w:smallCaps/>
              <w:color w:val="292929"/>
              <w:sz w:val="20"/>
              <w:szCs w:val="20"/>
            </w:rPr>
          </w:pPr>
          <w:r>
            <w:rPr>
              <w:rFonts w:eastAsia="Arial Unicode MS"/>
              <w:b/>
              <w:smallCaps/>
              <w:color w:val="292929"/>
              <w:sz w:val="20"/>
            </w:rPr>
            <w:t>Equipamento</w:t>
          </w:r>
        </w:p>
      </w:tc>
      <w:tc>
        <w:tcPr>
          <w:tcW w:w="4014" w:type="dxa"/>
          <w:vAlign w:val="center"/>
        </w:tcPr>
        <w:p w:rsidR="00FC25FE" w:rsidRPr="00175358" w:rsidP="00252F66">
          <w:pPr>
            <w:spacing w:before="60" w:after="60"/>
            <w:jc w:val="both"/>
            <w:rPr>
              <w:rFonts w:ascii="GillSans" w:eastAsia="Arial Unicode MS" w:hAnsi="GillSans"/>
              <w:b/>
              <w:color w:val="292929"/>
              <w:sz w:val="24"/>
              <w:szCs w:val="24"/>
            </w:rPr>
          </w:pPr>
          <w:r w:rsidRPr="00B82E20">
            <w:rPr>
              <w:rFonts w:eastAsia="Arial Unicode MS"/>
              <w:b/>
              <w:smallCaps/>
              <w:color w:val="292929"/>
            </w:rPr>
            <w:t>Versão</w:t>
          </w:r>
          <w:r w:rsidRPr="00175358">
            <w:rPr>
              <w:rFonts w:eastAsia="Arial Unicode MS"/>
              <w:b/>
              <w:smallCaps/>
              <w:color w:val="292929"/>
              <w:sz w:val="16"/>
            </w:rPr>
            <w:t>:</w:t>
          </w:r>
          <w:r w:rsidRPr="00175358">
            <w:rPr>
              <w:rFonts w:eastAsia="Arial Unicode MS"/>
              <w:b/>
              <w:color w:val="292929"/>
              <w:sz w:val="16"/>
              <w:szCs w:val="16"/>
            </w:rPr>
            <w:t xml:space="preserve"> </w:t>
          </w:r>
          <w:r w:rsidRPr="00175358">
            <w:rPr>
              <w:b/>
              <w:color w:val="111111"/>
              <w:sz w:val="16"/>
              <w:szCs w:val="16"/>
            </w:rPr>
            <w:t>01_2012</w:t>
          </w:r>
        </w:p>
      </w:tc>
      <w:tc>
        <w:tcPr>
          <w:tcW w:w="2551" w:type="dxa"/>
          <w:vMerge/>
          <w:shd w:val="clear" w:color="auto" w:fill="C0C0C0"/>
          <w:vAlign w:val="center"/>
        </w:tcPr>
        <w:p w:rsidR="00FC25FE" w:rsidRPr="00175358" w:rsidP="00175358">
          <w:pPr>
            <w:spacing w:before="60" w:after="60"/>
            <w:jc w:val="both"/>
            <w:rPr>
              <w:rFonts w:ascii="GillSans" w:eastAsia="Arial Unicode MS" w:hAnsi="GillSans"/>
              <w:b/>
              <w:color w:val="292929"/>
            </w:rPr>
          </w:pPr>
        </w:p>
      </w:tc>
    </w:tr>
  </w:tbl>
  <w:p w:rsidR="00FC25FE" w:rsidRPr="00086E23" w:rsidP="00086E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43068"/>
    <w:multiLevelType w:val="hybridMultilevel"/>
    <w:tmpl w:val="3FF03FAE"/>
    <w:lvl w:ilvl="0">
      <w:start w:val="1"/>
      <w:numFmt w:val="bullet"/>
      <w:pStyle w:val="Bullets0"/>
      <w:lvlText w:val=""/>
      <w:lvlJc w:val="left"/>
      <w:pPr>
        <w:tabs>
          <w:tab w:val="num" w:pos="1134"/>
        </w:tabs>
        <w:ind w:left="1135" w:hanging="284"/>
      </w:pPr>
      <w:rPr>
        <w:rFonts w:ascii="Symbol" w:hAnsi="Symbol" w:hint="default"/>
        <w:b/>
        <w:i w:val="0"/>
        <w:color w:val="4D4D4D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6F0565"/>
    <w:multiLevelType w:val="hybridMultilevel"/>
    <w:tmpl w:val="0B5055EE"/>
    <w:lvl w:ilvl="0">
      <w:start w:val="1"/>
      <w:numFmt w:val="decimal"/>
      <w:pStyle w:val="Numbered-Text"/>
      <w:lvlText w:val="%1.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111111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6B4A73"/>
    <w:multiLevelType w:val="hybridMultilevel"/>
    <w:tmpl w:val="74C2DC06"/>
    <w:lvl w:ilvl="0">
      <w:start w:val="1"/>
      <w:numFmt w:val="bullet"/>
      <w:pStyle w:val="Bullets3"/>
      <w:lvlText w:val=""/>
      <w:lvlJc w:val="left"/>
      <w:pPr>
        <w:tabs>
          <w:tab w:val="num" w:pos="1418"/>
        </w:tabs>
        <w:ind w:left="1418" w:hanging="284"/>
      </w:pPr>
      <w:rPr>
        <w:rFonts w:ascii="Wingdings 3" w:hAnsi="Wingdings 3" w:hint="default"/>
        <w:b/>
        <w:i w:val="0"/>
        <w:color w:val="0067C6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D34525"/>
    <w:multiLevelType w:val="hybridMultilevel"/>
    <w:tmpl w:val="3CA4CB44"/>
    <w:lvl w:ilvl="0">
      <w:start w:val="1"/>
      <w:numFmt w:val="lowerLetter"/>
      <w:pStyle w:val="Numbered-Text2"/>
      <w:lvlText w:val="%1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111111"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403504"/>
    <w:multiLevelType w:val="hybridMultilevel"/>
    <w:tmpl w:val="92B82950"/>
    <w:lvl w:ilvl="0">
      <w:start w:val="1"/>
      <w:numFmt w:val="bullet"/>
      <w:pStyle w:val="Bullets2"/>
      <w:lvlText w:val="–"/>
      <w:lvlJc w:val="left"/>
      <w:pPr>
        <w:tabs>
          <w:tab w:val="num" w:pos="1134"/>
        </w:tabs>
        <w:ind w:left="1134" w:hanging="283"/>
      </w:pPr>
      <w:rPr>
        <w:rFonts w:ascii="Helvetica" w:hAnsi="Helvetica" w:hint="default"/>
        <w:b w:val="0"/>
        <w:i w:val="0"/>
        <w:color w:val="4D4D4D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5F5F5F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FE1F9B"/>
    <w:multiLevelType w:val="singleLevel"/>
    <w:tmpl w:val="E694523A"/>
    <w:lvl w:ilvl="0">
      <w:start w:val="1"/>
      <w:numFmt w:val="bullet"/>
      <w:pStyle w:val="bolas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1D403D5"/>
    <w:multiLevelType w:val="multilevel"/>
    <w:tmpl w:val="1C0C45AC"/>
    <w:lvl w:ilvl="0">
      <w:start w:val="1"/>
      <w:numFmt w:val="decimal"/>
      <w:pStyle w:val="Heading1"/>
      <w:isLgl/>
      <w:lvlText w:val="%1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567"/>
        </w:tabs>
        <w:ind w:left="567" w:hanging="567"/>
      </w:pPr>
      <w:rPr>
        <w:rFonts w:ascii="Gill Sans MT" w:eastAsia="Arial Unicode MS" w:hAnsi="Gill Sans MT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567" w:hanging="567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7">
    <w:nsid w:val="5F620E5F"/>
    <w:multiLevelType w:val="multilevel"/>
    <w:tmpl w:val="B0C63AEE"/>
    <w:lvl w:ilvl="0">
      <w:start w:val="2"/>
      <w:numFmt w:val="decimal"/>
      <w:pStyle w:val="NumberedStyle2"/>
      <w:isLgl/>
      <w:lvlText w:val="%1.1."/>
      <w:lvlJc w:val="left"/>
      <w:pPr>
        <w:tabs>
          <w:tab w:val="num" w:pos="567"/>
        </w:tabs>
        <w:ind w:left="567" w:hanging="567"/>
      </w:pPr>
      <w:rPr>
        <w:rFonts w:ascii="GillSans" w:hAnsi="GillSan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isLgl/>
      <w:lvlText w:val="%1.%2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2">
      <w:start w:val="1"/>
      <w:numFmt w:val="decimal"/>
      <w:isLgl/>
      <w:lvlText w:val="%1.%2.%3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 Unicode MS" w:eastAsia="Arial Unicode MS" w:hAnsi="Arial" w:hint="eastAsia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8">
    <w:nsid w:val="67B66D98"/>
    <w:multiLevelType w:val="singleLevel"/>
    <w:tmpl w:val="679A183E"/>
    <w:lvl w:ilvl="0">
      <w:start w:val="1"/>
      <w:numFmt w:val="bullet"/>
      <w:pStyle w:val="bullets"/>
      <w:lvlText w:val="͟"/>
      <w:lvlJc w:val="left"/>
      <w:pPr>
        <w:tabs>
          <w:tab w:val="num" w:pos="360"/>
        </w:tabs>
        <w:ind w:left="57" w:hanging="57"/>
      </w:pPr>
      <w:rPr>
        <w:rFonts w:hint="eastAsia"/>
        <w:sz w:val="12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attachedTemplate r:id="rId1"/>
  <w:stylePaneFormatFilter w:val="1F08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printFractionalCharacterWidth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650E50"/>
    <w:rPr>
      <w:rFonts w:ascii="Gill Sans MT" w:hAnsi="Gill Sans MT" w:cs="Arial"/>
      <w:sz w:val="22"/>
      <w:szCs w:val="18"/>
      <w:lang w:eastAsia="en-US"/>
    </w:rPr>
  </w:style>
  <w:style w:type="paragraph" w:styleId="Heading1">
    <w:name w:val="heading 1"/>
    <w:aliases w:val="H1"/>
    <w:basedOn w:val="Text"/>
    <w:next w:val="Text"/>
    <w:link w:val="Heading1Char"/>
    <w:qFormat/>
    <w:rsid w:val="00F534AF"/>
    <w:pPr>
      <w:numPr>
        <w:numId w:val="1"/>
      </w:numPr>
      <w:adjustRightInd w:val="0"/>
      <w:snapToGrid w:val="0"/>
      <w:spacing w:before="160" w:after="160"/>
      <w:outlineLvl w:val="0"/>
    </w:pPr>
    <w:rPr>
      <w:rFonts w:eastAsia="Arial Unicode MS"/>
      <w:b/>
      <w:caps/>
      <w:color w:val="1C1C1C"/>
      <w:sz w:val="24"/>
      <w:szCs w:val="24"/>
      <w:lang w:val="en-US"/>
    </w:rPr>
  </w:style>
  <w:style w:type="paragraph" w:styleId="Heading2">
    <w:name w:val="heading 2"/>
    <w:aliases w:val="H2"/>
    <w:basedOn w:val="Text"/>
    <w:next w:val="Text"/>
    <w:qFormat/>
    <w:rsid w:val="00FD05BA"/>
    <w:pPr>
      <w:numPr>
        <w:ilvl w:val="1"/>
        <w:numId w:val="1"/>
      </w:numPr>
      <w:spacing w:before="120"/>
      <w:outlineLvl w:val="1"/>
    </w:pPr>
    <w:rPr>
      <w:rFonts w:eastAsia="Arial Unicode MS"/>
      <w:color w:val="1C1C1C"/>
      <w:szCs w:val="22"/>
    </w:rPr>
  </w:style>
  <w:style w:type="paragraph" w:styleId="Heading3">
    <w:name w:val="heading 3"/>
    <w:basedOn w:val="Text"/>
    <w:next w:val="Text"/>
    <w:link w:val="Heading3Char"/>
    <w:qFormat/>
    <w:rsid w:val="00FD05BA"/>
    <w:pPr>
      <w:numPr>
        <w:ilvl w:val="2"/>
        <w:numId w:val="1"/>
      </w:numPr>
      <w:spacing w:before="120"/>
      <w:outlineLvl w:val="2"/>
    </w:pPr>
    <w:rPr>
      <w:rFonts w:eastAsia="Arial Unicode MS"/>
      <w:color w:val="1C1C1C"/>
      <w:szCs w:val="22"/>
    </w:rPr>
  </w:style>
  <w:style w:type="paragraph" w:styleId="Heading4">
    <w:name w:val="heading 4"/>
    <w:aliases w:val="H4,lixo"/>
    <w:basedOn w:val="Text"/>
    <w:next w:val="Text"/>
    <w:qFormat/>
    <w:rsid w:val="00086E23"/>
    <w:pPr>
      <w:numPr>
        <w:ilvl w:val="3"/>
        <w:numId w:val="1"/>
      </w:numPr>
      <w:spacing w:before="240" w:after="60"/>
      <w:outlineLvl w:val="3"/>
    </w:pPr>
    <w:rPr>
      <w:rFonts w:eastAsia="Arial Unicode MS"/>
      <w:szCs w:val="22"/>
    </w:rPr>
  </w:style>
  <w:style w:type="paragraph" w:styleId="Heading5">
    <w:name w:val="heading 5"/>
    <w:aliases w:val="H5"/>
    <w:basedOn w:val="Normal"/>
    <w:next w:val="Normal"/>
    <w:qFormat/>
    <w:rsid w:val="00086E23"/>
    <w:pPr>
      <w:keepNext/>
      <w:numPr>
        <w:ilvl w:val="4"/>
        <w:numId w:val="1"/>
      </w:numPr>
      <w:tabs>
        <w:tab w:val="left" w:pos="794"/>
      </w:tabs>
      <w:jc w:val="center"/>
      <w:outlineLvl w:val="4"/>
    </w:pPr>
    <w:rPr>
      <w:smallCaps/>
    </w:rPr>
  </w:style>
  <w:style w:type="paragraph" w:styleId="Heading6">
    <w:name w:val="heading 6"/>
    <w:aliases w:val="H6"/>
    <w:basedOn w:val="Normal"/>
    <w:next w:val="Normal"/>
    <w:qFormat/>
    <w:rsid w:val="00086E23"/>
    <w:pPr>
      <w:numPr>
        <w:ilvl w:val="5"/>
        <w:numId w:val="1"/>
      </w:numPr>
      <w:tabs>
        <w:tab w:val="left" w:pos="794"/>
      </w:tabs>
      <w:spacing w:before="240" w:after="60"/>
      <w:outlineLvl w:val="5"/>
    </w:pPr>
    <w:rPr>
      <w:smallCaps/>
    </w:rPr>
  </w:style>
  <w:style w:type="paragraph" w:styleId="Heading7">
    <w:name w:val="heading 7"/>
    <w:basedOn w:val="Normal"/>
    <w:next w:val="Normal"/>
    <w:qFormat/>
    <w:rsid w:val="00086E23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086E23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086E23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A2303"/>
    <w:rPr>
      <w:rFonts w:ascii="Helvetica" w:eastAsia="Arial Unicode MS" w:hAnsi="Helvetica"/>
      <w:b/>
      <w:color w:val="111111"/>
      <w:sz w:val="14"/>
      <w:szCs w:val="14"/>
    </w:rPr>
  </w:style>
  <w:style w:type="paragraph" w:styleId="TOC4">
    <w:name w:val="toc 4"/>
    <w:basedOn w:val="Heading4"/>
    <w:autoRedefine/>
    <w:semiHidden/>
    <w:rsid w:val="00511089"/>
    <w:pPr>
      <w:numPr>
        <w:ilvl w:val="0"/>
        <w:numId w:val="0"/>
      </w:numPr>
      <w:tabs>
        <w:tab w:val="left" w:pos="1134"/>
        <w:tab w:val="right" w:leader="dot" w:pos="9350"/>
      </w:tabs>
      <w:ind w:left="1134" w:hanging="1134"/>
      <w:outlineLvl w:val="9"/>
    </w:pPr>
    <w:rPr>
      <w:noProof/>
      <w:sz w:val="24"/>
    </w:rPr>
  </w:style>
  <w:style w:type="paragraph" w:styleId="TOC3">
    <w:name w:val="toc 3"/>
    <w:basedOn w:val="Heading3"/>
    <w:next w:val="Heading3"/>
    <w:autoRedefine/>
    <w:semiHidden/>
    <w:rsid w:val="000F0919"/>
    <w:pPr>
      <w:numPr>
        <w:ilvl w:val="0"/>
        <w:numId w:val="0"/>
      </w:numPr>
      <w:tabs>
        <w:tab w:val="left" w:pos="1418"/>
        <w:tab w:val="right" w:leader="dot" w:pos="9639"/>
      </w:tabs>
      <w:spacing w:before="0"/>
      <w:ind w:left="1418" w:hanging="567"/>
      <w:outlineLvl w:val="9"/>
    </w:pPr>
    <w:rPr>
      <w:b/>
      <w:noProof/>
      <w:sz w:val="18"/>
      <w:szCs w:val="18"/>
      <w:lang w:val="en-GB"/>
    </w:rPr>
  </w:style>
  <w:style w:type="paragraph" w:styleId="TOC2">
    <w:name w:val="toc 2"/>
    <w:basedOn w:val="Heading2"/>
    <w:autoRedefine/>
    <w:semiHidden/>
    <w:rsid w:val="00A21E7F"/>
    <w:pPr>
      <w:numPr>
        <w:ilvl w:val="0"/>
        <w:numId w:val="0"/>
      </w:numPr>
      <w:tabs>
        <w:tab w:val="left" w:pos="1276"/>
        <w:tab w:val="right" w:leader="dot" w:pos="9639"/>
      </w:tabs>
      <w:spacing w:before="0"/>
      <w:ind w:left="1276" w:hanging="425"/>
      <w:outlineLvl w:val="9"/>
    </w:pPr>
    <w:rPr>
      <w:noProof/>
      <w:sz w:val="20"/>
      <w:szCs w:val="20"/>
      <w:lang w:val="en-GB"/>
    </w:rPr>
  </w:style>
  <w:style w:type="paragraph" w:styleId="TOC1">
    <w:name w:val="toc 1"/>
    <w:basedOn w:val="Heading1"/>
    <w:autoRedefine/>
    <w:semiHidden/>
    <w:rsid w:val="00A21E7F"/>
    <w:pPr>
      <w:numPr>
        <w:numId w:val="0"/>
      </w:numPr>
      <w:tabs>
        <w:tab w:val="left" w:pos="1134"/>
        <w:tab w:val="right" w:leader="dot" w:pos="9639"/>
      </w:tabs>
      <w:spacing w:before="0" w:after="120"/>
      <w:ind w:left="1135" w:hanging="284"/>
      <w:jc w:val="left"/>
      <w:outlineLvl w:val="9"/>
    </w:pPr>
    <w:rPr>
      <w:noProof/>
      <w:sz w:val="22"/>
      <w:szCs w:val="22"/>
    </w:rPr>
  </w:style>
  <w:style w:type="paragraph" w:styleId="Footer">
    <w:name w:val="footer"/>
    <w:basedOn w:val="Normal"/>
    <w:link w:val="FooterChar"/>
    <w:rsid w:val="00EE3B3E"/>
    <w:pPr>
      <w:jc w:val="both"/>
    </w:pPr>
    <w:rPr>
      <w:color w:val="292929"/>
      <w:sz w:val="14"/>
      <w:szCs w:val="14"/>
    </w:rPr>
  </w:style>
  <w:style w:type="paragraph" w:styleId="Header">
    <w:name w:val="header"/>
    <w:basedOn w:val="Normal"/>
    <w:next w:val="Normal"/>
    <w:link w:val="HeaderChar"/>
    <w:rsid w:val="005E2252"/>
    <w:pPr>
      <w:spacing w:before="60" w:after="600"/>
    </w:pPr>
    <w:rPr>
      <w:b/>
      <w:color w:val="292929"/>
      <w:sz w:val="16"/>
      <w:szCs w:val="16"/>
    </w:rPr>
  </w:style>
  <w:style w:type="paragraph" w:customStyle="1" w:styleId="NotadeRodap">
    <w:name w:val="Nota de Rodapé"/>
    <w:basedOn w:val="Normal"/>
    <w:rPr>
      <w:sz w:val="16"/>
    </w:rPr>
  </w:style>
  <w:style w:type="paragraph" w:styleId="TOC5">
    <w:name w:val="toc 5"/>
    <w:basedOn w:val="Normal"/>
    <w:next w:val="Normal"/>
    <w:autoRedefine/>
    <w:semiHidden/>
    <w:pPr>
      <w:ind w:left="66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autoRedefine/>
    <w:semiHidden/>
    <w:pPr>
      <w:ind w:left="88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autoRedefine/>
    <w:semiHidden/>
    <w:pPr>
      <w:ind w:left="110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autoRedefine/>
    <w:semiHidden/>
    <w:pPr>
      <w:ind w:left="132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autoRedefine/>
    <w:semiHidden/>
    <w:pPr>
      <w:ind w:left="1540"/>
    </w:pPr>
    <w:rPr>
      <w:rFonts w:ascii="Times New Roman" w:hAnsi="Times New Roman"/>
      <w:sz w:val="20"/>
    </w:rPr>
  </w:style>
  <w:style w:type="paragraph" w:styleId="Caption">
    <w:name w:val="caption"/>
    <w:basedOn w:val="Normal"/>
    <w:autoRedefine/>
    <w:qFormat/>
    <w:rsid w:val="00964ECD"/>
    <w:pPr>
      <w:spacing w:before="120" w:after="120"/>
      <w:ind w:left="851"/>
      <w:jc w:val="center"/>
    </w:pPr>
    <w:rPr>
      <w:b/>
      <w:color w:val="292929"/>
    </w:rPr>
  </w:style>
  <w:style w:type="paragraph" w:styleId="BodyText2">
    <w:name w:val="Body Text 2"/>
    <w:basedOn w:val="Normal"/>
    <w:pPr>
      <w:tabs>
        <w:tab w:val="left" w:pos="3402"/>
        <w:tab w:val="right" w:pos="9356"/>
      </w:tabs>
    </w:pPr>
  </w:style>
  <w:style w:type="paragraph" w:styleId="BodyTextIndent">
    <w:name w:val="Body Text Indent"/>
    <w:basedOn w:val="Normal"/>
    <w:pPr>
      <w:tabs>
        <w:tab w:val="left" w:pos="3402"/>
        <w:tab w:val="right" w:pos="9356"/>
      </w:tabs>
    </w:pPr>
  </w:style>
  <w:style w:type="paragraph" w:customStyle="1" w:styleId="bolas">
    <w:name w:val="bolas"/>
    <w:basedOn w:val="Normal"/>
    <w:pPr>
      <w:numPr>
        <w:numId w:val="2"/>
      </w:numPr>
      <w:spacing w:before="80" w:after="80" w:line="240" w:lineRule="atLeast"/>
    </w:pPr>
    <w:rPr>
      <w:sz w:val="20"/>
    </w:rPr>
  </w:style>
  <w:style w:type="paragraph" w:customStyle="1" w:styleId="bullets">
    <w:name w:val="bullets"/>
    <w:basedOn w:val="Normal"/>
    <w:autoRedefine/>
    <w:pPr>
      <w:numPr>
        <w:numId w:val="3"/>
      </w:numPr>
      <w:spacing w:before="120" w:after="120"/>
      <w:ind w:right="284"/>
    </w:pPr>
    <w:rPr>
      <w:rFonts w:cs="Times New Roman"/>
      <w:szCs w:val="20"/>
    </w:rPr>
  </w:style>
  <w:style w:type="paragraph" w:styleId="TableofFigures">
    <w:name w:val="table of figures"/>
    <w:basedOn w:val="Normal"/>
    <w:next w:val="Normal"/>
    <w:autoRedefine/>
    <w:semiHidden/>
    <w:rsid w:val="00D223D5"/>
    <w:pPr>
      <w:tabs>
        <w:tab w:val="right" w:leader="dot" w:pos="9639"/>
      </w:tabs>
      <w:spacing w:after="120"/>
      <w:ind w:left="851"/>
      <w:jc w:val="both"/>
    </w:pPr>
    <w:rPr>
      <w:rFonts w:ascii="Helvetica" w:hAnsi="Helvetica"/>
      <w:color w:val="1C1C1C"/>
    </w:rPr>
  </w:style>
  <w:style w:type="paragraph" w:customStyle="1" w:styleId="Text">
    <w:name w:val="Text"/>
    <w:basedOn w:val="Normal"/>
    <w:link w:val="TextChar"/>
    <w:rsid w:val="00086E23"/>
    <w:pPr>
      <w:spacing w:after="120" w:line="280" w:lineRule="atLeast"/>
      <w:ind w:left="567"/>
      <w:jc w:val="both"/>
    </w:pPr>
    <w:rPr>
      <w:color w:val="111111"/>
      <w:szCs w:val="20"/>
    </w:rPr>
  </w:style>
  <w:style w:type="paragraph" w:customStyle="1" w:styleId="Titulo-A">
    <w:name w:val="Titulo-A"/>
    <w:basedOn w:val="Text"/>
    <w:next w:val="Text"/>
    <w:rsid w:val="0054394D"/>
    <w:pPr>
      <w:spacing w:before="480"/>
      <w:ind w:left="851"/>
      <w:jc w:val="left"/>
    </w:pPr>
    <w:rPr>
      <w:rFonts w:eastAsia="Arial Unicode MS"/>
      <w:b/>
      <w:caps/>
      <w:color w:val="0067C6"/>
      <w:szCs w:val="22"/>
      <w:lang w:val="en-GB"/>
    </w:rPr>
  </w:style>
  <w:style w:type="paragraph" w:customStyle="1" w:styleId="Bullets0">
    <w:name w:val="Bullets"/>
    <w:basedOn w:val="Text"/>
    <w:rsid w:val="00086E23"/>
    <w:pPr>
      <w:numPr>
        <w:numId w:val="4"/>
      </w:numPr>
    </w:pPr>
    <w:rPr>
      <w:rFonts w:cs="Times New Roman"/>
      <w:color w:val="1C1C1C"/>
      <w:lang w:eastAsia="pt-PT"/>
    </w:rPr>
  </w:style>
  <w:style w:type="paragraph" w:customStyle="1" w:styleId="TableTitles">
    <w:name w:val="TableTitles"/>
    <w:basedOn w:val="Normal"/>
    <w:rsid w:val="0074056D"/>
    <w:pPr>
      <w:spacing w:line="240" w:lineRule="atLeast"/>
      <w:jc w:val="center"/>
    </w:pPr>
    <w:rPr>
      <w:rFonts w:eastAsia="Arial Unicode MS" w:cs="Times New Roman"/>
      <w:b/>
      <w:bCs/>
      <w:szCs w:val="20"/>
      <w:lang w:eastAsia="pt-PT"/>
    </w:rPr>
  </w:style>
  <w:style w:type="paragraph" w:customStyle="1" w:styleId="TableText">
    <w:name w:val="TableText"/>
    <w:basedOn w:val="Normal"/>
    <w:rsid w:val="0074056D"/>
    <w:pPr>
      <w:spacing w:before="60" w:after="60"/>
      <w:jc w:val="center"/>
    </w:pPr>
    <w:rPr>
      <w:rFonts w:cs="Times New Roman"/>
      <w:color w:val="111111"/>
      <w:lang w:eastAsia="pt-PT"/>
    </w:rPr>
  </w:style>
  <w:style w:type="paragraph" w:customStyle="1" w:styleId="Bullets2">
    <w:name w:val="Bullets2"/>
    <w:basedOn w:val="Text"/>
    <w:rsid w:val="00F534AF"/>
    <w:pPr>
      <w:numPr>
        <w:numId w:val="5"/>
      </w:numPr>
    </w:pPr>
    <w:rPr>
      <w:rFonts w:cs="Times New Roman"/>
      <w:color w:val="1C1C1C"/>
      <w:lang w:eastAsia="pt-PT"/>
    </w:rPr>
  </w:style>
  <w:style w:type="paragraph" w:customStyle="1" w:styleId="Numbered-Text">
    <w:name w:val="Numbered-Text"/>
    <w:basedOn w:val="Normal"/>
    <w:rsid w:val="00C17094"/>
    <w:pPr>
      <w:numPr>
        <w:numId w:val="6"/>
      </w:numPr>
      <w:spacing w:after="120" w:line="280" w:lineRule="atLeast"/>
      <w:jc w:val="both"/>
    </w:pPr>
    <w:rPr>
      <w:rFonts w:cs="Times New Roman"/>
      <w:color w:val="111111"/>
      <w:sz w:val="20"/>
      <w:szCs w:val="20"/>
      <w:lang w:eastAsia="pt-PT"/>
    </w:rPr>
  </w:style>
  <w:style w:type="table" w:styleId="TableGrid">
    <w:name w:val="Table Grid"/>
    <w:basedOn w:val="TableNormal"/>
    <w:rsid w:val="0078506C"/>
    <w:pPr>
      <w:jc w:val="both"/>
    </w:pPr>
    <w:rPr>
      <w:rFonts w:ascii="Arial" w:hAnsi="Arial"/>
      <w:color w:val="111111"/>
      <w:sz w:val="4"/>
      <w:szCs w:val="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Arial" w:hAnsi="Arial"/>
        <w:sz w:val="4"/>
        <w:szCs w:val="4"/>
      </w:rPr>
    </w:tblStylePr>
  </w:style>
  <w:style w:type="character" w:styleId="Hyperlink">
    <w:name w:val="Hyperlink"/>
    <w:basedOn w:val="DefaultParagraphFont"/>
    <w:rsid w:val="00360449"/>
    <w:rPr>
      <w:color w:val="0000FF"/>
      <w:u w:val="single"/>
    </w:rPr>
  </w:style>
  <w:style w:type="paragraph" w:customStyle="1" w:styleId="Bullets3">
    <w:name w:val="Bullets3"/>
    <w:basedOn w:val="Text"/>
    <w:rsid w:val="00DE6E0D"/>
    <w:pPr>
      <w:numPr>
        <w:numId w:val="7"/>
      </w:numPr>
    </w:pPr>
    <w:rPr>
      <w:color w:val="1C1C1C"/>
    </w:rPr>
  </w:style>
  <w:style w:type="paragraph" w:customStyle="1" w:styleId="Inf">
    <w:name w:val="Inf."/>
    <w:basedOn w:val="Text"/>
    <w:next w:val="Text"/>
    <w:rsid w:val="005800B6"/>
    <w:pPr>
      <w:tabs>
        <w:tab w:val="left" w:pos="6237"/>
      </w:tabs>
      <w:spacing w:after="0"/>
      <w:ind w:left="851"/>
    </w:pPr>
    <w:rPr>
      <w:i/>
      <w:color w:val="4D4D4D"/>
      <w:sz w:val="14"/>
      <w:szCs w:val="14"/>
    </w:rPr>
  </w:style>
  <w:style w:type="paragraph" w:customStyle="1" w:styleId="Fig">
    <w:name w:val="Fig"/>
    <w:basedOn w:val="Caption"/>
    <w:next w:val="Text"/>
    <w:rsid w:val="0074056D"/>
    <w:pPr>
      <w:spacing w:after="0"/>
    </w:pPr>
    <w:rPr>
      <w:rFonts w:eastAsia="Arial Unicode MS"/>
      <w:noProof/>
    </w:rPr>
  </w:style>
  <w:style w:type="paragraph" w:customStyle="1" w:styleId="Table-LeftTitle">
    <w:name w:val="Table-LeftTitle"/>
    <w:basedOn w:val="TableText"/>
    <w:rsid w:val="0074056D"/>
    <w:pPr>
      <w:jc w:val="left"/>
    </w:pPr>
    <w:rPr>
      <w:rFonts w:eastAsia="Arial Unicode MS"/>
      <w:b/>
      <w:color w:val="1C1C1C"/>
    </w:rPr>
  </w:style>
  <w:style w:type="paragraph" w:styleId="BodyText">
    <w:name w:val="Body Text"/>
    <w:basedOn w:val="Normal"/>
    <w:rsid w:val="00F66012"/>
    <w:pPr>
      <w:spacing w:after="120"/>
    </w:pPr>
  </w:style>
  <w:style w:type="paragraph" w:customStyle="1" w:styleId="Text-Bold">
    <w:name w:val="Text-Bold"/>
    <w:basedOn w:val="Text"/>
    <w:next w:val="Text"/>
    <w:link w:val="Text-BoldChar"/>
    <w:rsid w:val="00EB1CA4"/>
    <w:rPr>
      <w:rFonts w:eastAsia="Arial Unicode MS"/>
      <w:b/>
      <w:lang w:val="en-GB"/>
    </w:rPr>
  </w:style>
  <w:style w:type="paragraph" w:customStyle="1" w:styleId="Text-Italic">
    <w:name w:val="Text-Italic"/>
    <w:basedOn w:val="Text"/>
    <w:next w:val="Text"/>
    <w:rsid w:val="000850D0"/>
    <w:rPr>
      <w:i/>
      <w:lang w:val="en-GB"/>
    </w:rPr>
  </w:style>
  <w:style w:type="paragraph" w:customStyle="1" w:styleId="Numbered-Text2">
    <w:name w:val="Numbered-Text2"/>
    <w:basedOn w:val="Normal"/>
    <w:rsid w:val="00CA4B67"/>
    <w:pPr>
      <w:numPr>
        <w:numId w:val="8"/>
      </w:numPr>
      <w:spacing w:after="120" w:line="280" w:lineRule="atLeast"/>
    </w:pPr>
    <w:rPr>
      <w:sz w:val="20"/>
      <w:szCs w:val="20"/>
    </w:rPr>
  </w:style>
  <w:style w:type="table" w:styleId="TableClassic1">
    <w:name w:val="Table Classic 1"/>
    <w:basedOn w:val="TableNormal"/>
    <w:rsid w:val="002E39A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rsid w:val="002E39A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rsid w:val="002E39AB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rsid w:val="002E39AB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rsid w:val="002E39AB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rsid w:val="002E39AB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sid w:val="002E39AB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paragraph" w:customStyle="1" w:styleId="TableText2">
    <w:name w:val="TableText2"/>
    <w:basedOn w:val="TableText"/>
    <w:rsid w:val="007678D2"/>
    <w:pPr>
      <w:jc w:val="left"/>
    </w:pPr>
    <w:rPr>
      <w:color w:val="1C1C1C"/>
    </w:rPr>
  </w:style>
  <w:style w:type="paragraph" w:customStyle="1" w:styleId="DHVLogo">
    <w:name w:val="DHVLogo"/>
    <w:basedOn w:val="Header"/>
    <w:rsid w:val="009A7FB2"/>
    <w:pPr>
      <w:tabs>
        <w:tab w:val="center" w:pos="4536"/>
        <w:tab w:val="right" w:pos="9072"/>
      </w:tabs>
      <w:spacing w:before="0" w:after="0"/>
      <w:jc w:val="both"/>
    </w:pPr>
    <w:rPr>
      <w:rFonts w:cs="Times New Roman"/>
      <w:noProof/>
      <w:color w:val="auto"/>
      <w:sz w:val="20"/>
      <w:szCs w:val="20"/>
      <w:lang w:val="en-US"/>
    </w:rPr>
  </w:style>
  <w:style w:type="paragraph" w:styleId="Title">
    <w:name w:val="Title"/>
    <w:basedOn w:val="Normal"/>
    <w:qFormat/>
    <w:rsid w:val="00421E9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FootnoteText">
    <w:name w:val="footnote text"/>
    <w:basedOn w:val="Normal"/>
    <w:semiHidden/>
    <w:rsid w:val="007A2303"/>
    <w:pPr>
      <w:jc w:val="both"/>
    </w:pPr>
    <w:rPr>
      <w:rFonts w:ascii="Helvetica" w:hAnsi="Helvetica"/>
      <w:sz w:val="14"/>
      <w:szCs w:val="14"/>
    </w:rPr>
  </w:style>
  <w:style w:type="character" w:styleId="FootnoteReference">
    <w:name w:val="footnote reference"/>
    <w:basedOn w:val="DefaultParagraphFont"/>
    <w:semiHidden/>
    <w:rsid w:val="00E96EF7"/>
    <w:rPr>
      <w:vertAlign w:val="superscript"/>
    </w:rPr>
  </w:style>
  <w:style w:type="character" w:customStyle="1" w:styleId="FooterChar">
    <w:name w:val="Footer Char"/>
    <w:basedOn w:val="DefaultParagraphFont"/>
    <w:link w:val="Footer"/>
    <w:rsid w:val="00EE3B3E"/>
    <w:rPr>
      <w:rFonts w:ascii="Arial" w:hAnsi="Arial" w:cs="Arial"/>
      <w:color w:val="292929"/>
      <w:sz w:val="14"/>
      <w:szCs w:val="14"/>
      <w:lang w:val="pt-PT" w:eastAsia="en-US" w:bidi="ar-SA"/>
    </w:rPr>
  </w:style>
  <w:style w:type="paragraph" w:customStyle="1" w:styleId="Underline">
    <w:name w:val="Underline"/>
    <w:basedOn w:val="Text"/>
    <w:next w:val="Text"/>
    <w:link w:val="UnderlineChar"/>
    <w:rsid w:val="00086E23"/>
    <w:rPr>
      <w:u w:val="single"/>
    </w:rPr>
  </w:style>
  <w:style w:type="character" w:customStyle="1" w:styleId="TextChar">
    <w:name w:val="Text Char"/>
    <w:basedOn w:val="DefaultParagraphFont"/>
    <w:link w:val="Text"/>
    <w:rsid w:val="00086E23"/>
    <w:rPr>
      <w:rFonts w:ascii="Gill Sans MT" w:hAnsi="Gill Sans MT" w:cs="Arial"/>
      <w:color w:val="111111"/>
      <w:sz w:val="22"/>
      <w:lang w:val="pt-PT" w:eastAsia="en-US" w:bidi="ar-SA"/>
    </w:rPr>
  </w:style>
  <w:style w:type="character" w:customStyle="1" w:styleId="UnderlineChar">
    <w:name w:val="Underline Char"/>
    <w:basedOn w:val="TextChar"/>
    <w:link w:val="Underline"/>
    <w:rsid w:val="00086E23"/>
    <w:rPr>
      <w:rFonts w:ascii="Gill Sans MT" w:hAnsi="Gill Sans MT" w:cs="Arial"/>
      <w:color w:val="111111"/>
      <w:sz w:val="22"/>
      <w:u w:val="single"/>
      <w:lang w:val="pt-PT" w:eastAsia="en-US" w:bidi="ar-SA"/>
    </w:rPr>
  </w:style>
  <w:style w:type="character" w:customStyle="1" w:styleId="HeaderChar">
    <w:name w:val="Header Char"/>
    <w:basedOn w:val="DefaultParagraphFont"/>
    <w:link w:val="Header"/>
    <w:semiHidden/>
    <w:locked/>
    <w:rsid w:val="00086E23"/>
    <w:rPr>
      <w:rFonts w:ascii="Arial" w:hAnsi="Arial" w:cs="Arial"/>
      <w:b/>
      <w:color w:val="292929"/>
      <w:sz w:val="16"/>
      <w:szCs w:val="16"/>
      <w:lang w:val="pt-PT" w:eastAsia="en-US" w:bidi="ar-SA"/>
    </w:rPr>
  </w:style>
  <w:style w:type="table" w:customStyle="1" w:styleId="TableGrid1">
    <w:name w:val="Table Grid1"/>
    <w:basedOn w:val="TableNormal"/>
    <w:next w:val="TableGrid"/>
    <w:rsid w:val="00086E23"/>
    <w:pPr>
      <w:jc w:val="both"/>
    </w:pPr>
    <w:rPr>
      <w:rFonts w:ascii="GillSans" w:hAnsi="GillSans"/>
      <w:color w:val="111111"/>
      <w:sz w:val="4"/>
      <w:szCs w:val="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Arial" w:hAnsi="Arial"/>
        <w:sz w:val="4"/>
        <w:szCs w:val="4"/>
      </w:rPr>
    </w:tblStylePr>
  </w:style>
  <w:style w:type="paragraph" w:customStyle="1" w:styleId="NumberedStyle3">
    <w:name w:val="NumberedStyle3"/>
    <w:basedOn w:val="Normal"/>
    <w:next w:val="Text"/>
    <w:rsid w:val="00FD05BA"/>
    <w:pPr>
      <w:tabs>
        <w:tab w:val="num" w:pos="1418"/>
      </w:tabs>
      <w:spacing w:before="120" w:after="120" w:line="280" w:lineRule="atLeast"/>
      <w:ind w:left="1418" w:hanging="284"/>
      <w:jc w:val="both"/>
    </w:pPr>
    <w:rPr>
      <w:rFonts w:ascii="GillSans" w:hAnsi="GillSans"/>
      <w:sz w:val="20"/>
      <w:szCs w:val="20"/>
    </w:rPr>
  </w:style>
  <w:style w:type="character" w:customStyle="1" w:styleId="Text-BoldChar">
    <w:name w:val="Text-Bold Char"/>
    <w:basedOn w:val="TextChar"/>
    <w:link w:val="Text-Bold"/>
    <w:rsid w:val="00FD05BA"/>
    <w:rPr>
      <w:rFonts w:ascii="Gill Sans MT" w:eastAsia="Arial Unicode MS" w:hAnsi="Gill Sans MT" w:cs="Arial"/>
      <w:b/>
      <w:color w:val="111111"/>
      <w:sz w:val="22"/>
      <w:lang w:val="en-GB" w:eastAsia="en-US" w:bidi="ar-SA"/>
    </w:rPr>
  </w:style>
  <w:style w:type="paragraph" w:customStyle="1" w:styleId="NumberedStyle2">
    <w:name w:val="NumberedStyle2"/>
    <w:basedOn w:val="Normal"/>
    <w:next w:val="Text"/>
    <w:rsid w:val="00FD05BA"/>
    <w:pPr>
      <w:numPr>
        <w:numId w:val="9"/>
      </w:numPr>
      <w:spacing w:before="120" w:after="120" w:line="280" w:lineRule="atLeast"/>
      <w:jc w:val="both"/>
    </w:pPr>
    <w:rPr>
      <w:rFonts w:ascii="GillSans" w:hAnsi="GillSans"/>
      <w:sz w:val="20"/>
      <w:szCs w:val="20"/>
    </w:rPr>
  </w:style>
  <w:style w:type="character" w:customStyle="1" w:styleId="Heading1Char">
    <w:name w:val="Heading 1 Char"/>
    <w:aliases w:val="H1 Char"/>
    <w:basedOn w:val="DefaultParagraphFont"/>
    <w:link w:val="Heading1"/>
    <w:rsid w:val="00CA034E"/>
    <w:rPr>
      <w:rFonts w:ascii="Gill Sans MT" w:eastAsia="Arial Unicode MS" w:hAnsi="Gill Sans MT" w:cs="Arial"/>
      <w:b/>
      <w:caps/>
      <w:color w:val="1C1C1C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CA034E"/>
    <w:rPr>
      <w:rFonts w:ascii="Gill Sans MT" w:eastAsia="Arial Unicode MS" w:hAnsi="Gill Sans MT" w:cs="Arial"/>
      <w:color w:val="1C1C1C"/>
      <w:sz w:val="22"/>
      <w:szCs w:val="22"/>
      <w:lang w:val="pt-PT" w:eastAsia="en-US" w:bidi="ar-SA"/>
    </w:rPr>
  </w:style>
  <w:style w:type="paragraph" w:customStyle="1" w:styleId="TableTextLeft">
    <w:name w:val="TableTextLeft"/>
    <w:basedOn w:val="TableText"/>
    <w:next w:val="Text"/>
    <w:rsid w:val="00B33E72"/>
    <w:pPr>
      <w:jc w:val="left"/>
    </w:pPr>
    <w:rPr>
      <w:rFonts w:ascii="GillSans" w:hAnsi="GillSans"/>
      <w:sz w:val="18"/>
    </w:rPr>
  </w:style>
  <w:style w:type="paragraph" w:styleId="BalloonText">
    <w:name w:val="Balloon Text"/>
    <w:basedOn w:val="Normal"/>
    <w:link w:val="BalloonTextChar"/>
    <w:rsid w:val="00B00E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00E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header" Target="header1.xml"></Relationship><Relationship Id="rId5" Type="http://schemas.openxmlformats.org/officeDocument/2006/relationships/header" Target="header2.xml"></Relationship><Relationship Id="rId6" Type="http://schemas.openxmlformats.org/officeDocument/2006/relationships/footer" Target="footer1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Relationship Id="rId9" Type="http://schemas.openxmlformats.org/officeDocument/2006/relationships/styles" Target="styles.xml"></Relationship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></Relationship><Relationship Id="rId2" Type="http://schemas.openxmlformats.org/officeDocument/2006/relationships/image" Target="media/image2.jpeg"></Relationship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N:\LB_Groupsdata\DHVSA\Asup\CI\Share_CI\Templates_DHV-SA\04_Textos%20Word\Template_Propostas-Relatorios_Corporativo.dot" TargetMode="Externa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Template_Propostas-Relatorios_Corporativo</Template>
  <TotalTime>48</TotalTime>
  <Pages>4</Pages>
  <Words>607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ET-EQ 000 - Índice</vt:lpstr>
      <vt:lpstr>ET-IE 000 - Índice</vt:lpstr>
    </vt:vector>
  </TitlesOfParts>
  <Company/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ET-EQ 000 - Índice</dc:title>
  <dc:creator>Águas de Portugal</dc:creator>
  <cp:lastModifiedBy>Rodrigo Marques</cp:lastModifiedBy>
  <cp:revision>10</cp:revision>
  <cp:lastPrinted>2008-05-09T21:18:00Z</cp:lastPrinted>
  <dcterms:created xsi:type="dcterms:W3CDTF">2011-12-23T09:37:00Z</dcterms:created>
  <dcterms:modified xsi:type="dcterms:W3CDTF">2012-03-27T19:36:00Z</dcterms:modified>
</cp:coreProperties>
</file>